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106448" w:rsidRDefault="00F92268" w:rsidP="00850792">
      <w:pPr>
        <w:pStyle w:val="BodyText"/>
        <w:rPr>
          <w:sz w:val="6"/>
          <w:szCs w:val="6"/>
        </w:rPr>
      </w:pPr>
      <w:r w:rsidRPr="00106448">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106448"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06448" w:rsidRDefault="00F92268" w:rsidP="00F246C7">
            <w:pPr>
              <w:pStyle w:val="RefTableData"/>
            </w:pPr>
            <w:r w:rsidRPr="00106448">
              <w:t>Reference number(s)</w:t>
            </w:r>
          </w:p>
        </w:tc>
      </w:tr>
      <w:tr w:rsidR="00F92268" w:rsidRPr="00106448"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E64F18D" w:rsidR="00F92268" w:rsidRPr="00106448" w:rsidRDefault="005176F0" w:rsidP="00F246C7">
            <w:pPr>
              <w:pStyle w:val="RefTableHeader"/>
            </w:pPr>
            <w:r w:rsidRPr="00106448">
              <w:t>1703-A</w:t>
            </w:r>
          </w:p>
        </w:tc>
      </w:tr>
    </w:tbl>
    <w:p w14:paraId="74FBA5B4" w14:textId="77777777" w:rsidR="00051356" w:rsidRPr="00106448" w:rsidRDefault="00051356" w:rsidP="00A672B3">
      <w:pPr>
        <w:pStyle w:val="BodyText"/>
        <w:rPr>
          <w:b/>
          <w:bCs/>
          <w:sz w:val="16"/>
          <w:szCs w:val="16"/>
        </w:rPr>
        <w:sectPr w:rsidR="00051356" w:rsidRPr="00106448" w:rsidSect="006E1BF1">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75EEAB46" w:rsidR="004B15BB" w:rsidRPr="00106448" w:rsidRDefault="005C5A2B" w:rsidP="007E5C16">
      <w:pPr>
        <w:pStyle w:val="Heading1"/>
      </w:pPr>
      <w:r w:rsidRPr="00106448">
        <w:t>Specialty Guideline Management</w:t>
      </w:r>
      <w:r w:rsidR="008C54D9" w:rsidRPr="00106448">
        <w:br/>
      </w:r>
      <w:r w:rsidR="00FF1EEB" w:rsidRPr="00106448">
        <w:t>Intron A</w:t>
      </w:r>
    </w:p>
    <w:p w14:paraId="78861C92" w14:textId="0409FE84" w:rsidR="00203468" w:rsidRPr="00106448" w:rsidRDefault="00C64534" w:rsidP="008E0F0D">
      <w:pPr>
        <w:pStyle w:val="Heading2"/>
      </w:pPr>
      <w:r w:rsidRPr="00106448">
        <w:t xml:space="preserve">Products Referenced by this </w:t>
      </w:r>
      <w:r w:rsidR="00501602" w:rsidRPr="00106448">
        <w:t>Document</w:t>
      </w:r>
    </w:p>
    <w:p w14:paraId="5455152B" w14:textId="782B7838" w:rsidR="008E0F0D" w:rsidRPr="00106448" w:rsidRDefault="00D82D85" w:rsidP="008B73E8">
      <w:pPr>
        <w:pStyle w:val="BodyText"/>
      </w:pPr>
      <w:r w:rsidRPr="00106448">
        <w:t xml:space="preserve">Drugs that are listed in the </w:t>
      </w:r>
      <w:r w:rsidR="000315F1" w:rsidRPr="00106448">
        <w:t>following table</w:t>
      </w:r>
      <w:r w:rsidRPr="00106448">
        <w:t xml:space="preserve"> include both brand and generic and all dosage forms and strengths unless otherwise stated. </w:t>
      </w:r>
      <w:r w:rsidR="001F11EF">
        <w:t>Over</w:t>
      </w:r>
      <w:r w:rsidR="00FF6DC6">
        <w:t>-</w:t>
      </w:r>
      <w:r w:rsidR="001F11EF">
        <w:t>the</w:t>
      </w:r>
      <w:r w:rsidR="00FF6DC6">
        <w:t>-</w:t>
      </w:r>
      <w:r w:rsidR="001F11EF">
        <w:t>counter (</w:t>
      </w:r>
      <w:r w:rsidRPr="00106448">
        <w:t>OTC</w:t>
      </w:r>
      <w:r w:rsidR="001F11EF">
        <w:t>)</w:t>
      </w:r>
      <w:r w:rsidRPr="00106448">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106448" w14:paraId="158421F8" w14:textId="77777777" w:rsidTr="000C5A6F">
        <w:trPr>
          <w:cantSplit/>
          <w:trHeight w:val="288"/>
          <w:tblHeader/>
        </w:trPr>
        <w:tc>
          <w:tcPr>
            <w:tcW w:w="5265" w:type="dxa"/>
            <w:vAlign w:val="center"/>
          </w:tcPr>
          <w:p w14:paraId="2A27354A" w14:textId="1390179E" w:rsidR="00252CE1" w:rsidRPr="00106448" w:rsidRDefault="00252CE1" w:rsidP="00AA1E6A">
            <w:pPr>
              <w:pStyle w:val="TableHeader"/>
            </w:pPr>
            <w:bookmarkStart w:id="0" w:name="_Hlk159603270"/>
            <w:r w:rsidRPr="00106448">
              <w:t>Brand Name</w:t>
            </w:r>
          </w:p>
        </w:tc>
        <w:tc>
          <w:tcPr>
            <w:tcW w:w="5595" w:type="dxa"/>
            <w:vAlign w:val="center"/>
          </w:tcPr>
          <w:p w14:paraId="3D342BE1" w14:textId="75F11EF1" w:rsidR="00252CE1" w:rsidRPr="00106448" w:rsidRDefault="00252CE1" w:rsidP="00AA1E6A">
            <w:pPr>
              <w:pStyle w:val="TableHeader"/>
            </w:pPr>
            <w:r w:rsidRPr="00106448">
              <w:t>Generic Name</w:t>
            </w:r>
          </w:p>
        </w:tc>
      </w:tr>
      <w:tr w:rsidR="00585FFF" w:rsidRPr="00106448" w14:paraId="2AD5C02D" w14:textId="77777777" w:rsidTr="000C5A6F">
        <w:trPr>
          <w:cantSplit/>
        </w:trPr>
        <w:tc>
          <w:tcPr>
            <w:tcW w:w="5265" w:type="dxa"/>
          </w:tcPr>
          <w:p w14:paraId="2D8FA8E3" w14:textId="57FA0157" w:rsidR="00585FFF" w:rsidRPr="00106448" w:rsidRDefault="00FF1EEB" w:rsidP="00E82ABA">
            <w:pPr>
              <w:pStyle w:val="TableDataUnpadded"/>
            </w:pPr>
            <w:r w:rsidRPr="00106448">
              <w:t>Intron A</w:t>
            </w:r>
          </w:p>
        </w:tc>
        <w:tc>
          <w:tcPr>
            <w:tcW w:w="5595" w:type="dxa"/>
          </w:tcPr>
          <w:p w14:paraId="7E26A004" w14:textId="4794516A" w:rsidR="00585FFF" w:rsidRPr="00106448" w:rsidRDefault="00FF1EEB" w:rsidP="00E82ABA">
            <w:pPr>
              <w:pStyle w:val="TableDataUnpadded"/>
            </w:pPr>
            <w:r w:rsidRPr="00106448">
              <w:t>interferon alfa-2b</w:t>
            </w:r>
          </w:p>
        </w:tc>
      </w:tr>
    </w:tbl>
    <w:bookmarkEnd w:id="0"/>
    <w:p w14:paraId="14CE6108" w14:textId="45C9244C" w:rsidR="00FC1AAD" w:rsidRPr="00106448" w:rsidRDefault="00ED052F" w:rsidP="00AA2A94">
      <w:pPr>
        <w:pStyle w:val="Heading2"/>
        <w:tabs>
          <w:tab w:val="left" w:pos="9540"/>
        </w:tabs>
      </w:pPr>
      <w:r w:rsidRPr="00106448">
        <w:t>Indications</w:t>
      </w:r>
    </w:p>
    <w:p w14:paraId="6418A9BA" w14:textId="5AB0E7D2" w:rsidR="00FF1EEB" w:rsidRPr="00106448" w:rsidRDefault="00FF1EEB" w:rsidP="00FF1EEB">
      <w:pPr>
        <w:pStyle w:val="BodyText"/>
      </w:pPr>
      <w:r w:rsidRPr="00106448">
        <w:t>The indications below including FDA-approved indications and compendial uses are considered a covered benefit provided that all the approval criteria are met and the member has no exclusions to the prescribed therapy.</w:t>
      </w:r>
    </w:p>
    <w:p w14:paraId="134B5687" w14:textId="29B40EA6" w:rsidR="00ED052F" w:rsidRPr="00106448" w:rsidRDefault="00ED052F" w:rsidP="00ED052F">
      <w:pPr>
        <w:pStyle w:val="Heading3"/>
        <w:keepNext w:val="0"/>
      </w:pPr>
      <w:r w:rsidRPr="00106448">
        <w:t>FDA-</w:t>
      </w:r>
      <w:r w:rsidR="00BA6705">
        <w:t>A</w:t>
      </w:r>
      <w:r w:rsidRPr="00106448">
        <w:t>pproved Indications</w:t>
      </w:r>
      <w:r w:rsidR="00FF1EEB" w:rsidRPr="00106448">
        <w:rPr>
          <w:vertAlign w:val="superscript"/>
        </w:rPr>
        <w:t>1</w:t>
      </w:r>
    </w:p>
    <w:p w14:paraId="6168CDA6" w14:textId="77777777" w:rsidR="00FF1EEB" w:rsidRPr="00106448" w:rsidRDefault="00FF1EEB" w:rsidP="00FF1EEB">
      <w:pPr>
        <w:pStyle w:val="ListParagraph"/>
        <w:numPr>
          <w:ilvl w:val="1"/>
          <w:numId w:val="29"/>
        </w:numPr>
        <w:autoSpaceDE w:val="0"/>
        <w:autoSpaceDN w:val="0"/>
        <w:adjustRightInd w:val="0"/>
        <w:ind w:left="723"/>
        <w:textAlignment w:val="auto"/>
        <w:rPr>
          <w:u w:val="single"/>
        </w:rPr>
      </w:pPr>
      <w:r w:rsidRPr="00106448">
        <w:t>Malignant melanoma</w:t>
      </w:r>
    </w:p>
    <w:p w14:paraId="0CA64847" w14:textId="77777777" w:rsidR="00FF1EEB" w:rsidRPr="00106448" w:rsidRDefault="00FF1EEB" w:rsidP="00FF1EEB">
      <w:pPr>
        <w:pStyle w:val="ListParagraph"/>
        <w:numPr>
          <w:ilvl w:val="1"/>
          <w:numId w:val="29"/>
        </w:numPr>
        <w:autoSpaceDE w:val="0"/>
        <w:autoSpaceDN w:val="0"/>
        <w:adjustRightInd w:val="0"/>
        <w:ind w:left="723"/>
        <w:textAlignment w:val="auto"/>
        <w:rPr>
          <w:u w:val="single"/>
        </w:rPr>
      </w:pPr>
      <w:r w:rsidRPr="00106448">
        <w:t>Condylomata acuminata</w:t>
      </w:r>
    </w:p>
    <w:p w14:paraId="622F7FA4" w14:textId="77777777" w:rsidR="00FF1EEB" w:rsidRPr="00106448" w:rsidRDefault="00FF1EEB" w:rsidP="00FF1EEB">
      <w:pPr>
        <w:pStyle w:val="ListParagraph"/>
        <w:numPr>
          <w:ilvl w:val="1"/>
          <w:numId w:val="29"/>
        </w:numPr>
        <w:autoSpaceDE w:val="0"/>
        <w:autoSpaceDN w:val="0"/>
        <w:adjustRightInd w:val="0"/>
        <w:ind w:left="723"/>
        <w:textAlignment w:val="auto"/>
        <w:rPr>
          <w:u w:val="single"/>
        </w:rPr>
      </w:pPr>
      <w:r w:rsidRPr="00106448">
        <w:t>Hairy cell leukemia</w:t>
      </w:r>
    </w:p>
    <w:p w14:paraId="5340AB17" w14:textId="77777777" w:rsidR="00FF1EEB" w:rsidRPr="00106448" w:rsidRDefault="00FF1EEB" w:rsidP="00FF1EEB">
      <w:pPr>
        <w:pStyle w:val="ListParagraph"/>
        <w:numPr>
          <w:ilvl w:val="1"/>
          <w:numId w:val="29"/>
        </w:numPr>
        <w:autoSpaceDE w:val="0"/>
        <w:autoSpaceDN w:val="0"/>
        <w:adjustRightInd w:val="0"/>
        <w:ind w:left="723"/>
        <w:textAlignment w:val="auto"/>
        <w:rPr>
          <w:u w:val="single"/>
        </w:rPr>
      </w:pPr>
      <w:r w:rsidRPr="00106448">
        <w:t>AIDS-related Kaposi sarcoma</w:t>
      </w:r>
    </w:p>
    <w:p w14:paraId="72F07C80" w14:textId="77777777" w:rsidR="00FF1EEB" w:rsidRPr="00106448" w:rsidRDefault="00FF1EEB" w:rsidP="00FF1EEB">
      <w:pPr>
        <w:pStyle w:val="ListParagraph"/>
        <w:numPr>
          <w:ilvl w:val="1"/>
          <w:numId w:val="29"/>
        </w:numPr>
        <w:autoSpaceDE w:val="0"/>
        <w:autoSpaceDN w:val="0"/>
        <w:adjustRightInd w:val="0"/>
        <w:ind w:left="723"/>
        <w:textAlignment w:val="auto"/>
        <w:rPr>
          <w:u w:val="single"/>
        </w:rPr>
      </w:pPr>
      <w:r w:rsidRPr="00106448">
        <w:t>Chronic hepatitis B virus infection</w:t>
      </w:r>
    </w:p>
    <w:p w14:paraId="0EE530F7" w14:textId="77777777" w:rsidR="00FF1EEB" w:rsidRPr="00106448" w:rsidRDefault="00FF1EEB" w:rsidP="00FF1EEB">
      <w:pPr>
        <w:pStyle w:val="ListParagraph"/>
        <w:numPr>
          <w:ilvl w:val="1"/>
          <w:numId w:val="29"/>
        </w:numPr>
        <w:autoSpaceDE w:val="0"/>
        <w:autoSpaceDN w:val="0"/>
        <w:adjustRightInd w:val="0"/>
        <w:ind w:left="723"/>
        <w:textAlignment w:val="auto"/>
        <w:rPr>
          <w:u w:val="single"/>
        </w:rPr>
      </w:pPr>
      <w:r w:rsidRPr="00106448">
        <w:t>Chronic hepatitis C virus infection</w:t>
      </w:r>
    </w:p>
    <w:p w14:paraId="473AC9B3" w14:textId="301A5F15" w:rsidR="00FF1EEB" w:rsidRPr="00106448" w:rsidRDefault="00FF1EEB" w:rsidP="00FF1EEB">
      <w:pPr>
        <w:pStyle w:val="ListParagraph"/>
        <w:numPr>
          <w:ilvl w:val="1"/>
          <w:numId w:val="29"/>
        </w:numPr>
        <w:autoSpaceDE w:val="0"/>
        <w:autoSpaceDN w:val="0"/>
        <w:adjustRightInd w:val="0"/>
        <w:ind w:left="723"/>
        <w:textAlignment w:val="auto"/>
        <w:rPr>
          <w:u w:val="single"/>
        </w:rPr>
      </w:pPr>
      <w:r w:rsidRPr="00106448">
        <w:t xml:space="preserve">Follicular non-Hodgkin’s lymphoma </w:t>
      </w:r>
    </w:p>
    <w:p w14:paraId="0B5EC236" w14:textId="3E8F2FAB" w:rsidR="0044763A" w:rsidRPr="00106448" w:rsidRDefault="009F2EF1" w:rsidP="0044763A">
      <w:pPr>
        <w:pStyle w:val="Heading3"/>
      </w:pPr>
      <w:r w:rsidRPr="00106448">
        <w:t xml:space="preserve">Compendial </w:t>
      </w:r>
      <w:r w:rsidR="00FF1EEB" w:rsidRPr="00106448">
        <w:t>Uses</w:t>
      </w:r>
      <w:r w:rsidR="00FF1EEB" w:rsidRPr="00106448">
        <w:rPr>
          <w:vertAlign w:val="superscript"/>
        </w:rPr>
        <w:t>2-7</w:t>
      </w:r>
    </w:p>
    <w:p w14:paraId="3CFD02F0" w14:textId="77777777" w:rsidR="00FF1EEB" w:rsidRPr="00106448" w:rsidRDefault="00FF1EEB" w:rsidP="00FF1EEB">
      <w:pPr>
        <w:pStyle w:val="ListParagraph"/>
      </w:pPr>
      <w:r w:rsidRPr="00106448">
        <w:t>Renal cell carcinoma</w:t>
      </w:r>
      <w:r w:rsidRPr="00106448">
        <w:rPr>
          <w:vertAlign w:val="superscript"/>
        </w:rPr>
        <w:t>2,4</w:t>
      </w:r>
      <w:r w:rsidRPr="00106448">
        <w:t xml:space="preserve"> </w:t>
      </w:r>
    </w:p>
    <w:p w14:paraId="51668628" w14:textId="77777777" w:rsidR="00FF1EEB" w:rsidRPr="00106448" w:rsidRDefault="00FF1EEB" w:rsidP="00FF1EEB">
      <w:pPr>
        <w:pStyle w:val="ListParagraph"/>
      </w:pPr>
      <w:r w:rsidRPr="00106448">
        <w:t>Chronic myeloid leukemia (CML)</w:t>
      </w:r>
      <w:r w:rsidRPr="00106448">
        <w:rPr>
          <w:vertAlign w:val="superscript"/>
        </w:rPr>
        <w:t>2</w:t>
      </w:r>
    </w:p>
    <w:p w14:paraId="1F11EA6A" w14:textId="14389CD7" w:rsidR="009A5649" w:rsidRPr="00106448" w:rsidRDefault="00FF1EEB" w:rsidP="00FF1EEB">
      <w:pPr>
        <w:pStyle w:val="ListParagraph"/>
      </w:pPr>
      <w:r w:rsidRPr="00106448">
        <w:t>Ocular surface neoplasia (conjunctival and corneal neoplasm)</w:t>
      </w:r>
      <w:r w:rsidRPr="00106448">
        <w:rPr>
          <w:vertAlign w:val="superscript"/>
        </w:rPr>
        <w:t>3, 5-7</w:t>
      </w:r>
      <w:r w:rsidRPr="00106448">
        <w:t xml:space="preserve"> </w:t>
      </w:r>
    </w:p>
    <w:p w14:paraId="0D5A9DD5" w14:textId="4C95BDED" w:rsidR="009A5649" w:rsidRPr="00106448" w:rsidRDefault="00FF1EEB" w:rsidP="009A5649">
      <w:pPr>
        <w:pStyle w:val="BodyText"/>
        <w:rPr>
          <w:rFonts w:eastAsia="Arial"/>
        </w:rPr>
      </w:pPr>
      <w:r w:rsidRPr="00106448">
        <w:lastRenderedPageBreak/>
        <w:t>All other indications are considered experimental/investigational and not medically necessary</w:t>
      </w:r>
      <w:r w:rsidR="009A5649" w:rsidRPr="00106448">
        <w:rPr>
          <w:rFonts w:eastAsia="Arial"/>
        </w:rPr>
        <w:t xml:space="preserve">. </w:t>
      </w:r>
    </w:p>
    <w:p w14:paraId="50A38FBA" w14:textId="274F2615" w:rsidR="00FE0C63" w:rsidRPr="00106448" w:rsidRDefault="00685107" w:rsidP="00E050E1">
      <w:pPr>
        <w:pStyle w:val="Heading2"/>
      </w:pPr>
      <w:r w:rsidRPr="00106448">
        <w:t>Coverage Criteria</w:t>
      </w:r>
    </w:p>
    <w:p w14:paraId="0F711A84" w14:textId="25B2667B" w:rsidR="00FF1EEB" w:rsidRPr="00106448" w:rsidRDefault="00FF1EEB" w:rsidP="00FF1EEB">
      <w:pPr>
        <w:pStyle w:val="Heading3"/>
      </w:pPr>
      <w:r w:rsidRPr="00106448">
        <w:t xml:space="preserve">Malignant </w:t>
      </w:r>
      <w:r w:rsidR="00BA6705" w:rsidRPr="00106448">
        <w:t>Melanoma</w:t>
      </w:r>
      <w:r w:rsidR="00BA6705" w:rsidRPr="00106448">
        <w:rPr>
          <w:vertAlign w:val="superscript"/>
        </w:rPr>
        <w:t>1</w:t>
      </w:r>
    </w:p>
    <w:p w14:paraId="4F4AD9B3" w14:textId="737125DA" w:rsidR="00FF1EEB" w:rsidRPr="00106448" w:rsidRDefault="00FF1EEB" w:rsidP="00FF1EEB">
      <w:pPr>
        <w:pStyle w:val="BodyText"/>
      </w:pPr>
      <w:r w:rsidRPr="00106448">
        <w:t>Authorization of 12 months may be granted for treatment of malignant melanoma.</w:t>
      </w:r>
    </w:p>
    <w:p w14:paraId="058E8B50" w14:textId="39BD9A8A" w:rsidR="00FF1EEB" w:rsidRPr="00106448" w:rsidRDefault="00FF1EEB" w:rsidP="00FF1EEB">
      <w:pPr>
        <w:pStyle w:val="Heading3"/>
      </w:pPr>
      <w:r w:rsidRPr="00106448">
        <w:t xml:space="preserve">Hairy </w:t>
      </w:r>
      <w:r w:rsidR="00BA6705" w:rsidRPr="00106448">
        <w:t>Cell Leukemia</w:t>
      </w:r>
      <w:r w:rsidR="00BA6705" w:rsidRPr="00106448">
        <w:rPr>
          <w:vertAlign w:val="superscript"/>
        </w:rPr>
        <w:t xml:space="preserve">1 </w:t>
      </w:r>
    </w:p>
    <w:p w14:paraId="6B9B549D" w14:textId="60D67009" w:rsidR="00FF1EEB" w:rsidRPr="00106448" w:rsidRDefault="00FF1EEB" w:rsidP="00FF1EEB">
      <w:pPr>
        <w:pStyle w:val="BodyText"/>
      </w:pPr>
      <w:r w:rsidRPr="00106448">
        <w:t>Authorization of 6 months may be granted for treatment of hairy cell leukemia.</w:t>
      </w:r>
    </w:p>
    <w:p w14:paraId="4109F7C2" w14:textId="3C61319D" w:rsidR="00FF1EEB" w:rsidRPr="00106448" w:rsidRDefault="00FF1EEB" w:rsidP="00FF1EEB">
      <w:pPr>
        <w:pStyle w:val="Heading3"/>
      </w:pPr>
      <w:r w:rsidRPr="00106448">
        <w:t xml:space="preserve">Follicular </w:t>
      </w:r>
      <w:r w:rsidR="00BA6705" w:rsidRPr="00106448">
        <w:t>Lymphoma</w:t>
      </w:r>
      <w:r w:rsidR="00BA6705" w:rsidRPr="00106448">
        <w:rPr>
          <w:vertAlign w:val="superscript"/>
        </w:rPr>
        <w:t xml:space="preserve">1 </w:t>
      </w:r>
    </w:p>
    <w:p w14:paraId="6505BD11" w14:textId="278F3F6C" w:rsidR="00FF1EEB" w:rsidRPr="00106448" w:rsidRDefault="00FF1EEB" w:rsidP="00FF1EEB">
      <w:pPr>
        <w:pStyle w:val="BodyText"/>
      </w:pPr>
      <w:r w:rsidRPr="00106448">
        <w:t>Authorization of 12 months may be granted for treatment of follicular lymphoma (clinically aggressive).</w:t>
      </w:r>
    </w:p>
    <w:p w14:paraId="283310F7" w14:textId="0A4BCD12" w:rsidR="00FF1EEB" w:rsidRPr="00106448" w:rsidRDefault="00FF1EEB" w:rsidP="00FF1EEB">
      <w:pPr>
        <w:pStyle w:val="Heading3"/>
      </w:pPr>
      <w:r w:rsidRPr="00106448">
        <w:t xml:space="preserve">Renal </w:t>
      </w:r>
      <w:r w:rsidR="00BA6705" w:rsidRPr="00106448">
        <w:t>Cell Carcinoma</w:t>
      </w:r>
      <w:r w:rsidR="00BA6705" w:rsidRPr="00106448">
        <w:rPr>
          <w:vertAlign w:val="superscript"/>
        </w:rPr>
        <w:t>2,4</w:t>
      </w:r>
      <w:r w:rsidR="00BA6705" w:rsidRPr="00106448">
        <w:t xml:space="preserve"> </w:t>
      </w:r>
    </w:p>
    <w:p w14:paraId="13240C2D" w14:textId="1799EA50" w:rsidR="00FF1EEB" w:rsidRPr="00106448" w:rsidRDefault="00FF1EEB" w:rsidP="00FF1EEB">
      <w:pPr>
        <w:rPr>
          <w:sz w:val="20"/>
        </w:rPr>
      </w:pPr>
      <w:r w:rsidRPr="00106448">
        <w:rPr>
          <w:rStyle w:val="BodyTextChar"/>
        </w:rPr>
        <w:t>Authorization of 12 months may be granted for treatment of renal cell carcinoma when the requested medication will be used in combination with bevacizumab</w:t>
      </w:r>
      <w:r w:rsidRPr="00106448">
        <w:rPr>
          <w:sz w:val="20"/>
        </w:rPr>
        <w:t>.</w:t>
      </w:r>
    </w:p>
    <w:p w14:paraId="68F3CBF3" w14:textId="61E3C13D" w:rsidR="00FF1EEB" w:rsidRPr="00106448" w:rsidRDefault="00FF1EEB" w:rsidP="00FF1EEB">
      <w:pPr>
        <w:pStyle w:val="Heading3"/>
      </w:pPr>
      <w:r w:rsidRPr="00106448">
        <w:t xml:space="preserve">Condylomata </w:t>
      </w:r>
      <w:r w:rsidR="00BA6705" w:rsidRPr="00106448">
        <w:t>Acuminata</w:t>
      </w:r>
      <w:r w:rsidR="00BA6705" w:rsidRPr="00106448">
        <w:rPr>
          <w:vertAlign w:val="superscript"/>
        </w:rPr>
        <w:t>1</w:t>
      </w:r>
    </w:p>
    <w:p w14:paraId="26C29747" w14:textId="76DDFFE6" w:rsidR="00FF1EEB" w:rsidRPr="00106448" w:rsidRDefault="00FF1EEB" w:rsidP="00FF1EEB">
      <w:pPr>
        <w:pStyle w:val="BodyText"/>
      </w:pPr>
      <w:r w:rsidRPr="00106448">
        <w:t>Authorization of 12 months may be granted for treatment of</w:t>
      </w:r>
      <w:r w:rsidRPr="00106448" w:rsidDel="00E91153">
        <w:t xml:space="preserve"> </w:t>
      </w:r>
      <w:r w:rsidRPr="00106448">
        <w:t>condylomata acuminata.</w:t>
      </w:r>
    </w:p>
    <w:p w14:paraId="123243A8" w14:textId="3C1BAA3A" w:rsidR="00FF1EEB" w:rsidRPr="00106448" w:rsidRDefault="00FF1EEB" w:rsidP="00FF1EEB">
      <w:pPr>
        <w:pStyle w:val="Heading3"/>
      </w:pPr>
      <w:r w:rsidRPr="00106448">
        <w:t>AIDS</w:t>
      </w:r>
      <w:r w:rsidR="00BA6705" w:rsidRPr="00106448">
        <w:t xml:space="preserve">-Related </w:t>
      </w:r>
      <w:r w:rsidRPr="00106448">
        <w:t xml:space="preserve">Kaposi </w:t>
      </w:r>
      <w:r w:rsidR="00BA6705" w:rsidRPr="00106448">
        <w:t>Sarcoma</w:t>
      </w:r>
      <w:r w:rsidR="00BA6705" w:rsidRPr="00106448">
        <w:rPr>
          <w:vertAlign w:val="superscript"/>
        </w:rPr>
        <w:t>1</w:t>
      </w:r>
    </w:p>
    <w:p w14:paraId="78A5ECAE" w14:textId="6B3003F6" w:rsidR="00FF1EEB" w:rsidRPr="00106448" w:rsidRDefault="00FF1EEB" w:rsidP="00FF1EEB">
      <w:pPr>
        <w:pStyle w:val="BodyText"/>
      </w:pPr>
      <w:r w:rsidRPr="00106448">
        <w:t xml:space="preserve">Authorization of 12 months may be granted for treatment of AIDS-related Kaposi sarcoma </w:t>
      </w:r>
    </w:p>
    <w:p w14:paraId="1075CDFE" w14:textId="14852A38" w:rsidR="00FF1EEB" w:rsidRPr="00106448" w:rsidRDefault="00FF1EEB" w:rsidP="00FF1EEB">
      <w:pPr>
        <w:pStyle w:val="Heading3"/>
      </w:pPr>
      <w:r w:rsidRPr="00106448">
        <w:t xml:space="preserve">Chronic </w:t>
      </w:r>
      <w:r w:rsidR="00BA6705" w:rsidRPr="00106448">
        <w:t>Myeloid Leukemia (</w:t>
      </w:r>
      <w:r w:rsidRPr="00106448">
        <w:t>CML</w:t>
      </w:r>
      <w:r w:rsidR="00BA6705" w:rsidRPr="00106448">
        <w:t>)</w:t>
      </w:r>
      <w:r w:rsidR="00BA6705" w:rsidRPr="00106448">
        <w:rPr>
          <w:vertAlign w:val="superscript"/>
        </w:rPr>
        <w:t>2</w:t>
      </w:r>
    </w:p>
    <w:p w14:paraId="5F51CD2D" w14:textId="5BDDA9A0" w:rsidR="00FF1EEB" w:rsidRPr="00106448" w:rsidRDefault="00FF1EEB" w:rsidP="00FF1EEB">
      <w:pPr>
        <w:pStyle w:val="BodyText"/>
      </w:pPr>
      <w:r w:rsidRPr="00106448">
        <w:t>Authorization of 6 months may be granted for treatment of CML.</w:t>
      </w:r>
    </w:p>
    <w:p w14:paraId="603924D1" w14:textId="3149837C" w:rsidR="00FF1EEB" w:rsidRPr="00106448" w:rsidRDefault="00FF1EEB" w:rsidP="00FF1EEB">
      <w:pPr>
        <w:pStyle w:val="Heading3"/>
      </w:pPr>
      <w:r w:rsidRPr="00106448">
        <w:t xml:space="preserve">Chronic </w:t>
      </w:r>
      <w:r w:rsidR="00BA6705" w:rsidRPr="00106448">
        <w:t xml:space="preserve">Hepatitis </w:t>
      </w:r>
      <w:r w:rsidRPr="00106448">
        <w:t xml:space="preserve">C </w:t>
      </w:r>
      <w:r w:rsidR="00BA6705" w:rsidRPr="00106448">
        <w:t>Virus Infection</w:t>
      </w:r>
      <w:r w:rsidR="00BA6705" w:rsidRPr="00106448">
        <w:rPr>
          <w:vertAlign w:val="superscript"/>
        </w:rPr>
        <w:t>1</w:t>
      </w:r>
    </w:p>
    <w:p w14:paraId="2333DAEB" w14:textId="3DDAE137" w:rsidR="00FF1EEB" w:rsidRPr="00106448" w:rsidRDefault="00FF1EEB" w:rsidP="00FF1EEB">
      <w:pPr>
        <w:pStyle w:val="BodyText"/>
      </w:pPr>
      <w:r w:rsidRPr="00106448">
        <w:t>Authorization of 16 weeks may be granted for treatment of chronic hepatitis C virus infection.</w:t>
      </w:r>
    </w:p>
    <w:p w14:paraId="176226AA" w14:textId="1DDF3D5A" w:rsidR="00FF1EEB" w:rsidRPr="00106448" w:rsidRDefault="00FF1EEB" w:rsidP="00FF1EEB">
      <w:pPr>
        <w:pStyle w:val="Heading3"/>
      </w:pPr>
      <w:r w:rsidRPr="00106448">
        <w:lastRenderedPageBreak/>
        <w:t xml:space="preserve">Chronic </w:t>
      </w:r>
      <w:r w:rsidR="00BA6705" w:rsidRPr="00106448">
        <w:t xml:space="preserve">Hepatitis </w:t>
      </w:r>
      <w:r w:rsidRPr="00106448">
        <w:t xml:space="preserve">B </w:t>
      </w:r>
      <w:r w:rsidR="00BA6705" w:rsidRPr="00106448">
        <w:t xml:space="preserve">(Including Hepatitis </w:t>
      </w:r>
      <w:r w:rsidRPr="00106448">
        <w:t xml:space="preserve">D </w:t>
      </w:r>
      <w:r w:rsidR="00BA6705" w:rsidRPr="00106448">
        <w:t>Virus Co-Infection) Virus Infection</w:t>
      </w:r>
      <w:r w:rsidR="00BA6705" w:rsidRPr="00106448">
        <w:rPr>
          <w:vertAlign w:val="superscript"/>
        </w:rPr>
        <w:t>1</w:t>
      </w:r>
    </w:p>
    <w:p w14:paraId="521897EE" w14:textId="406D99F6" w:rsidR="00FF1EEB" w:rsidRPr="00106448" w:rsidRDefault="00FF1EEB" w:rsidP="00FF1EEB">
      <w:pPr>
        <w:pStyle w:val="BodyText"/>
      </w:pPr>
      <w:r w:rsidRPr="00106448">
        <w:t>Authorization of 16 weeks may be granted for treatment of chronic hepatitis B (including hepatitis D virus co-infection) virus infection.</w:t>
      </w:r>
    </w:p>
    <w:p w14:paraId="14895E67" w14:textId="5AE5A4FE" w:rsidR="00FF1EEB" w:rsidRPr="00106448" w:rsidRDefault="00FF1EEB" w:rsidP="00FF1EEB">
      <w:pPr>
        <w:pStyle w:val="Heading3"/>
        <w:rPr>
          <w:u w:val="single"/>
        </w:rPr>
      </w:pPr>
      <w:r w:rsidRPr="00106448">
        <w:t xml:space="preserve">Ocular </w:t>
      </w:r>
      <w:r w:rsidR="00A06222" w:rsidRPr="00106448">
        <w:t>Surface Neoplasia (</w:t>
      </w:r>
      <w:hyperlink r:id="rId18" w:history="1">
        <w:r w:rsidR="00A06222" w:rsidRPr="00106448">
          <w:rPr>
            <w:rStyle w:val="Hyperlink"/>
            <w:color w:val="auto"/>
            <w:u w:val="none"/>
          </w:rPr>
          <w:t xml:space="preserve">Conjunctival </w:t>
        </w:r>
        <w:r w:rsidR="00A06222">
          <w:rPr>
            <w:rStyle w:val="Hyperlink"/>
            <w:color w:val="auto"/>
            <w:u w:val="none"/>
          </w:rPr>
          <w:t>a</w:t>
        </w:r>
        <w:r w:rsidR="00A06222" w:rsidRPr="00106448">
          <w:rPr>
            <w:rStyle w:val="Hyperlink"/>
            <w:color w:val="auto"/>
            <w:u w:val="none"/>
          </w:rPr>
          <w:t>nd Cornea</w:t>
        </w:r>
      </w:hyperlink>
      <w:r w:rsidR="00A06222" w:rsidRPr="00106448">
        <w:t>l Neoplasm)</w:t>
      </w:r>
      <w:r w:rsidRPr="00106448">
        <w:rPr>
          <w:vertAlign w:val="superscript"/>
        </w:rPr>
        <w:t>3, 5-7</w:t>
      </w:r>
    </w:p>
    <w:p w14:paraId="30708AA0" w14:textId="36A4EDA6" w:rsidR="00165258" w:rsidRPr="00106448" w:rsidRDefault="00FF1EEB" w:rsidP="00FF1EEB">
      <w:pPr>
        <w:pStyle w:val="BodyText"/>
      </w:pPr>
      <w:bookmarkStart w:id="1" w:name="OLE_LINK21"/>
      <w:r w:rsidRPr="00106448">
        <w:t xml:space="preserve">Authorization of 12 months may be granted for treatment </w:t>
      </w:r>
      <w:bookmarkEnd w:id="1"/>
      <w:r w:rsidRPr="00106448">
        <w:t>of ocular surface neoplasia (</w:t>
      </w:r>
      <w:hyperlink r:id="rId19" w:history="1">
        <w:r w:rsidRPr="00106448">
          <w:rPr>
            <w:rStyle w:val="Hyperlink"/>
            <w:color w:val="auto"/>
            <w:u w:val="none"/>
          </w:rPr>
          <w:t>conjunctival and cornea</w:t>
        </w:r>
      </w:hyperlink>
      <w:r w:rsidRPr="00106448">
        <w:t>l neoplasm)</w:t>
      </w:r>
      <w:r w:rsidR="00165258" w:rsidRPr="00106448">
        <w:t>.</w:t>
      </w:r>
    </w:p>
    <w:p w14:paraId="3A643EC3" w14:textId="4DD516F0" w:rsidR="00A501AC" w:rsidRPr="00106448" w:rsidRDefault="00A501AC" w:rsidP="00A501AC">
      <w:pPr>
        <w:pStyle w:val="Heading2"/>
      </w:pPr>
      <w:r w:rsidRPr="00106448">
        <w:t>Continuation of Therapy</w:t>
      </w:r>
    </w:p>
    <w:p w14:paraId="3F118106" w14:textId="77777777" w:rsidR="00FF1EEB" w:rsidRPr="00106448" w:rsidRDefault="00FF1EEB" w:rsidP="00FF1EEB">
      <w:pPr>
        <w:pStyle w:val="Heading3"/>
      </w:pPr>
      <w:r w:rsidRPr="00106448">
        <w:t xml:space="preserve">Chronic Hepatitis C </w:t>
      </w:r>
    </w:p>
    <w:p w14:paraId="272635E8" w14:textId="4814A549" w:rsidR="00FF1EEB" w:rsidRPr="00106448" w:rsidRDefault="00FF1EEB" w:rsidP="00FF1EEB">
      <w:pPr>
        <w:pStyle w:val="BodyText"/>
      </w:pPr>
      <w:r w:rsidRPr="00106448">
        <w:t>Authorization of 52 weeks, up to a total of 96 weeks, may be granted for continued treatment of chronic hepatitis C when the member is receiving clinical benefit and there is no evidence of unacceptable toxicity while on the current regimen.</w:t>
      </w:r>
    </w:p>
    <w:p w14:paraId="7FEED5FA" w14:textId="77777777" w:rsidR="00FF1EEB" w:rsidRPr="00106448" w:rsidRDefault="00FF1EEB" w:rsidP="00FF1EEB">
      <w:pPr>
        <w:pStyle w:val="Heading3"/>
      </w:pPr>
      <w:r w:rsidRPr="00106448">
        <w:t>Chronic Hepatitis B</w:t>
      </w:r>
    </w:p>
    <w:p w14:paraId="28AE288E" w14:textId="7BDB7D33" w:rsidR="00FF1EEB" w:rsidRPr="00106448" w:rsidRDefault="00FF1EEB" w:rsidP="00FF1EEB">
      <w:pPr>
        <w:pStyle w:val="BodyText"/>
        <w:rPr>
          <w:sz w:val="20"/>
          <w:szCs w:val="20"/>
        </w:rPr>
      </w:pPr>
      <w:bookmarkStart w:id="2" w:name="OLE_LINK15"/>
      <w:r w:rsidRPr="00106448">
        <w:t xml:space="preserve">Authorization of up to a total of 24 weeks may be granted for continued treatment of </w:t>
      </w:r>
      <w:bookmarkEnd w:id="2"/>
      <w:r w:rsidRPr="00106448">
        <w:t xml:space="preserve">chronic hepatitis B </w:t>
      </w:r>
      <w:bookmarkStart w:id="3" w:name="OLE_LINK17"/>
      <w:r w:rsidRPr="00106448">
        <w:t>when the member is receiving clinical benefit and there is no evidence of unacceptable toxicity while on the current regimen</w:t>
      </w:r>
      <w:r w:rsidRPr="00106448">
        <w:rPr>
          <w:sz w:val="20"/>
          <w:szCs w:val="20"/>
        </w:rPr>
        <w:t xml:space="preserve">. </w:t>
      </w:r>
      <w:bookmarkEnd w:id="3"/>
    </w:p>
    <w:p w14:paraId="3C569678" w14:textId="77777777" w:rsidR="00FF1EEB" w:rsidRPr="00106448" w:rsidRDefault="00FF1EEB" w:rsidP="00FF1EEB">
      <w:pPr>
        <w:pStyle w:val="Heading3"/>
      </w:pPr>
      <w:r w:rsidRPr="00106448">
        <w:t>Hairy Cell Leukemia</w:t>
      </w:r>
    </w:p>
    <w:p w14:paraId="3EB1661E" w14:textId="0F8937C6" w:rsidR="00FF1EEB" w:rsidRPr="00106448" w:rsidRDefault="00FF1EEB" w:rsidP="00FF1EEB">
      <w:pPr>
        <w:pStyle w:val="BodyText"/>
      </w:pPr>
      <w:r w:rsidRPr="00106448">
        <w:rPr>
          <w:bCs/>
        </w:rPr>
        <w:t xml:space="preserve">Authorization </w:t>
      </w:r>
      <w:r w:rsidRPr="00106448">
        <w:t xml:space="preserve">of up to a total of 6 months may be granted for continued treatment of hairy cell leukemia when the member is receiving clinical benefit and there is no evidence of unacceptable toxicity while on the current regimen. </w:t>
      </w:r>
    </w:p>
    <w:p w14:paraId="36A76F6E" w14:textId="77777777" w:rsidR="00FF1EEB" w:rsidRPr="00106448" w:rsidRDefault="00FF1EEB" w:rsidP="00FF1EEB">
      <w:pPr>
        <w:pStyle w:val="Heading3"/>
      </w:pPr>
      <w:r w:rsidRPr="00106448">
        <w:t>All Other Indications</w:t>
      </w:r>
    </w:p>
    <w:p w14:paraId="0C5BBF09" w14:textId="77777777" w:rsidR="00186B24" w:rsidRDefault="00FF1EEB" w:rsidP="00FF1EEB">
      <w:pPr>
        <w:pStyle w:val="BodyText"/>
      </w:pPr>
      <w:r w:rsidRPr="00106448">
        <w:t>Authorization of 12 months may be granted for continued treatment in members requesting reauthorization for an indication listed in Section II, other than hairy cell leukemia, chronic hepatitis C and chronic hepatitis B, when there is no evidence of unacceptable toxicity or disease progression while on the current regimen</w:t>
      </w:r>
      <w:r w:rsidR="00A501AC" w:rsidRPr="00106448">
        <w:t>.</w:t>
      </w:r>
    </w:p>
    <w:p w14:paraId="10DA4309" w14:textId="249B144D" w:rsidR="00FF66BF" w:rsidRPr="00106448" w:rsidRDefault="00FF66BF" w:rsidP="00FF66BF">
      <w:pPr>
        <w:pStyle w:val="Heading2"/>
      </w:pPr>
      <w:r w:rsidRPr="00106448">
        <w:lastRenderedPageBreak/>
        <w:t>References</w:t>
      </w:r>
    </w:p>
    <w:p w14:paraId="2E1DC85F" w14:textId="77777777" w:rsidR="00FF1EEB" w:rsidRPr="00A06222" w:rsidRDefault="00FF1EEB" w:rsidP="00A06222">
      <w:pPr>
        <w:pStyle w:val="ReferenceOrdered"/>
      </w:pPr>
      <w:r w:rsidRPr="00A06222">
        <w:t>Intron A [package insert]. Rahway, NJ: Merck Sharp &amp; Dohme Corp.; March 2023.</w:t>
      </w:r>
    </w:p>
    <w:p w14:paraId="479CB9B4" w14:textId="171FA8E6" w:rsidR="00FF1EEB" w:rsidRPr="00A06222" w:rsidRDefault="00FF1EEB" w:rsidP="00A06222">
      <w:pPr>
        <w:pStyle w:val="ReferenceOrdered"/>
      </w:pPr>
      <w:r w:rsidRPr="00A06222">
        <w:t>Micromedex Solutions [database online]. Truven Health Analytics, Greenwood Village, Colorado, USA.</w:t>
      </w:r>
      <w:r w:rsidR="00106448" w:rsidRPr="00A06222">
        <w:t xml:space="preserve"> </w:t>
      </w:r>
      <w:r w:rsidRPr="00A06222">
        <w:t>Available at: http://www.micromedexsolutions.com/.</w:t>
      </w:r>
      <w:r w:rsidR="00106448" w:rsidRPr="00A06222">
        <w:t xml:space="preserve"> </w:t>
      </w:r>
      <w:r w:rsidRPr="00A06222">
        <w:t xml:space="preserve">Accessed April 4, 2024. </w:t>
      </w:r>
    </w:p>
    <w:p w14:paraId="628D1C62" w14:textId="77777777" w:rsidR="00FF1EEB" w:rsidRPr="00A06222" w:rsidRDefault="00FF1EEB" w:rsidP="00A06222">
      <w:pPr>
        <w:pStyle w:val="ReferenceOrdered"/>
      </w:pPr>
      <w:r w:rsidRPr="00A06222">
        <w:t xml:space="preserve">Shah SU, </w:t>
      </w:r>
      <w:proofErr w:type="spellStart"/>
      <w:r w:rsidRPr="00A06222">
        <w:t>Kaliki</w:t>
      </w:r>
      <w:proofErr w:type="spellEnd"/>
      <w:r w:rsidRPr="00A06222">
        <w:t xml:space="preserve"> S, Kim HJ, Lally SE, Shields JA, Shields CL. Topical Interferon Alfa-2b for Management of Ocular Surface Squamous Neoplasia in 23 Cases: Outcomes Based on American Joint Committee on Cancer Classification. Arch </w:t>
      </w:r>
      <w:proofErr w:type="spellStart"/>
      <w:r w:rsidRPr="00A06222">
        <w:t>Ophthalmol</w:t>
      </w:r>
      <w:proofErr w:type="spellEnd"/>
      <w:r w:rsidRPr="00A06222">
        <w:t xml:space="preserve">. 2012;130(2):159–164. </w:t>
      </w:r>
    </w:p>
    <w:p w14:paraId="5A86CE51" w14:textId="77777777" w:rsidR="00FF1EEB" w:rsidRPr="00A06222" w:rsidRDefault="00FF1EEB" w:rsidP="00A06222">
      <w:pPr>
        <w:pStyle w:val="ReferenceOrdered"/>
      </w:pPr>
      <w:r w:rsidRPr="00A06222">
        <w:t>Avastin [package insert]. South San Francisco, CA: Genentech, Inc.; September 2022.</w:t>
      </w:r>
    </w:p>
    <w:p w14:paraId="00A5D6CA" w14:textId="77777777" w:rsidR="00FF1EEB" w:rsidRPr="00A06222" w:rsidRDefault="00FF1EEB" w:rsidP="00A06222">
      <w:pPr>
        <w:pStyle w:val="ReferenceOrdered"/>
      </w:pPr>
      <w:r w:rsidRPr="00A06222">
        <w:t xml:space="preserve">American Academy of Ophthalmology (AAO). Ocular surface squamous neoplasia. </w:t>
      </w:r>
      <w:proofErr w:type="spellStart"/>
      <w:r w:rsidRPr="00A06222">
        <w:t>EyeWiki</w:t>
      </w:r>
      <w:proofErr w:type="spellEnd"/>
      <w:r w:rsidRPr="00A06222">
        <w:t>. San Francisco, CA: AAO; last modified on November 8, 2017</w:t>
      </w:r>
    </w:p>
    <w:p w14:paraId="752DC34B" w14:textId="77777777" w:rsidR="00FF1EEB" w:rsidRPr="00A06222" w:rsidRDefault="00FF1EEB" w:rsidP="00A06222">
      <w:pPr>
        <w:pStyle w:val="ReferenceOrdered"/>
      </w:pPr>
      <w:r w:rsidRPr="00A06222">
        <w:t>Karp CL, Galor A, Chhabra S, Barnes SD, Alfonso EC. Subconjunctival/perilesional recombinant interferon alpha2b for ocular surface squamous neoplasia: a 10-year review. Ophthalmology. 2010;117(12):2241–6.</w:t>
      </w:r>
    </w:p>
    <w:p w14:paraId="47E1A10C" w14:textId="7327AD9E" w:rsidR="00C44990" w:rsidRPr="00133874" w:rsidRDefault="00FF1EEB" w:rsidP="00133874">
      <w:pPr>
        <w:pStyle w:val="ReferenceOrdered"/>
      </w:pPr>
      <w:r w:rsidRPr="00A06222">
        <w:t xml:space="preserve">Shields CL, </w:t>
      </w:r>
      <w:proofErr w:type="spellStart"/>
      <w:r w:rsidRPr="00A06222">
        <w:t>Kaliki</w:t>
      </w:r>
      <w:proofErr w:type="spellEnd"/>
      <w:r w:rsidRPr="00A06222">
        <w:t xml:space="preserve"> S, Kim HJ, Al-Dahmash S, Shah SU, Lally SE, et al. Interferon for ocular surface squamous neoplasia in 81 cases: outcomes based on the American Joint Committee on Cancer classification. Cornea. 2013;32(3):248–56</w:t>
      </w:r>
      <w:r w:rsidR="00FF66BF" w:rsidRPr="00A06222">
        <w:t>.</w:t>
      </w:r>
    </w:p>
    <w:sectPr w:rsidR="00C44990" w:rsidRPr="00133874" w:rsidSect="006E1BF1">
      <w:headerReference w:type="first" r:id="rId20"/>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8C5C3" w14:textId="77777777" w:rsidR="008832E8" w:rsidRDefault="008832E8">
      <w:r>
        <w:separator/>
      </w:r>
    </w:p>
  </w:endnote>
  <w:endnote w:type="continuationSeparator" w:id="0">
    <w:p w14:paraId="7544E606" w14:textId="77777777" w:rsidR="008832E8" w:rsidRDefault="008832E8">
      <w:r>
        <w:continuationSeparator/>
      </w:r>
    </w:p>
  </w:endnote>
  <w:endnote w:type="continuationNotice" w:id="1">
    <w:p w14:paraId="093E506B" w14:textId="77777777" w:rsidR="008832E8" w:rsidRDefault="008832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B95F1" w14:textId="77777777" w:rsidR="00302214" w:rsidRDefault="003022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936DA46"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02214" w:rsidRPr="00302214">
      <w:rPr>
        <w:rFonts w:cs="Arial"/>
        <w:noProof/>
        <w:sz w:val="16"/>
        <w:szCs w:val="16"/>
      </w:rPr>
      <w:t>Intron</w:t>
    </w:r>
    <w:r w:rsidR="00302214">
      <w:rPr>
        <w:rFonts w:cs="Arial"/>
        <w:noProof/>
        <w:snapToGrid w:val="0"/>
        <w:color w:val="000000"/>
        <w:sz w:val="16"/>
        <w:szCs w:val="16"/>
      </w:rPr>
      <w:t xml:space="preserve"> A SGM</w:t>
    </w:r>
    <w:r w:rsidR="00302214" w:rsidRPr="00302214">
      <w:rPr>
        <w:rFonts w:cs="Arial"/>
        <w:noProof/>
        <w:sz w:val="16"/>
        <w:szCs w:val="16"/>
      </w:rPr>
      <w:t xml:space="preserve"> 1703-A</w:t>
    </w:r>
    <w:r w:rsidR="00302214">
      <w:rPr>
        <w:rFonts w:cs="Arial"/>
        <w:noProof/>
        <w:snapToGrid w:val="0"/>
        <w:color w:val="000000"/>
        <w:sz w:val="16"/>
        <w:szCs w:val="16"/>
      </w:rPr>
      <w:t xml:space="preserve"> P2024_R.docx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273D04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8A52471" w:rsidR="00F75C81" w:rsidRPr="00133874" w:rsidRDefault="00C36B72" w:rsidP="0013387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BB4641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02214" w:rsidRPr="00302214">
      <w:rPr>
        <w:rFonts w:cs="Arial"/>
        <w:noProof/>
        <w:sz w:val="16"/>
        <w:szCs w:val="16"/>
      </w:rPr>
      <w:t>Intron</w:t>
    </w:r>
    <w:r w:rsidR="00302214">
      <w:rPr>
        <w:rFonts w:cs="Arial"/>
        <w:noProof/>
        <w:snapToGrid w:val="0"/>
        <w:color w:val="000000"/>
        <w:sz w:val="16"/>
        <w:szCs w:val="16"/>
      </w:rPr>
      <w:t xml:space="preserve"> A </w:t>
    </w:r>
    <w:r w:rsidR="00302214" w:rsidRPr="00302214">
      <w:rPr>
        <w:rFonts w:cs="Arial"/>
        <w:noProof/>
        <w:sz w:val="16"/>
        <w:szCs w:val="16"/>
      </w:rPr>
      <w:t>SGM</w:t>
    </w:r>
    <w:r w:rsidR="00302214">
      <w:rPr>
        <w:rFonts w:cs="Arial"/>
        <w:noProof/>
        <w:snapToGrid w:val="0"/>
        <w:color w:val="000000"/>
        <w:sz w:val="16"/>
        <w:szCs w:val="16"/>
      </w:rPr>
      <w:t xml:space="preserve"> 1703-A</w:t>
    </w:r>
    <w:r w:rsidR="00302214" w:rsidRPr="00302214">
      <w:rPr>
        <w:rFonts w:cs="Arial"/>
        <w:noProof/>
        <w:sz w:val="16"/>
        <w:szCs w:val="16"/>
      </w:rPr>
      <w:t xml:space="preserve"> </w:t>
    </w:r>
    <w:r w:rsidR="00302214">
      <w:rPr>
        <w:rFonts w:cs="Arial"/>
        <w:noProof/>
        <w:snapToGrid w:val="0"/>
        <w:color w:val="000000"/>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3DD1E7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66789364" w:rsidR="00ED04EC" w:rsidRPr="00F50D98" w:rsidRDefault="00F50D98" w:rsidP="00C8007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6ABD7" w14:textId="77777777" w:rsidR="008832E8" w:rsidRDefault="008832E8">
      <w:r>
        <w:separator/>
      </w:r>
    </w:p>
  </w:footnote>
  <w:footnote w:type="continuationSeparator" w:id="0">
    <w:p w14:paraId="678A2532" w14:textId="77777777" w:rsidR="008832E8" w:rsidRDefault="008832E8">
      <w:r>
        <w:continuationSeparator/>
      </w:r>
    </w:p>
  </w:footnote>
  <w:footnote w:type="continuationNotice" w:id="1">
    <w:p w14:paraId="5E1D30EF" w14:textId="77777777" w:rsidR="008832E8" w:rsidRDefault="008832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000E" w14:textId="77777777" w:rsidR="00302214" w:rsidRDefault="003022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trPr>
        <w:trHeight w:val="378"/>
        <w:jc w:val="right"/>
      </w:trPr>
      <w:tc>
        <w:tcPr>
          <w:tcW w:w="1854" w:type="dxa"/>
          <w:hideMark/>
        </w:tcPr>
        <w:p w14:paraId="51CE3E64" w14:textId="2BAA6BF2" w:rsidR="00ED04EC" w:rsidRPr="004C7F1D" w:rsidRDefault="005176F0" w:rsidP="00ED04EC">
          <w:pPr>
            <w:pStyle w:val="Header"/>
            <w:rPr>
              <w:rFonts w:ascii="Arial" w:hAnsi="Arial" w:cs="Arial"/>
              <w:sz w:val="16"/>
              <w:szCs w:val="16"/>
            </w:rPr>
          </w:pPr>
          <w:r w:rsidRPr="005176F0">
            <w:rPr>
              <w:rFonts w:ascii="Arial" w:hAnsi="Arial" w:cs="Arial"/>
              <w:sz w:val="16"/>
              <w:szCs w:val="16"/>
            </w:rPr>
            <w:t>1703-A</w:t>
          </w:r>
        </w:p>
      </w:tc>
    </w:tr>
  </w:tbl>
  <w:p w14:paraId="0D5ACCC2" w14:textId="25A7B81C"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20DD1" w14:textId="77777777" w:rsidR="00302214" w:rsidRDefault="003022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5E5092" w:rsidRPr="00BD1CC1" w14:paraId="487046C0" w14:textId="77777777" w:rsidTr="004F61AB">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93A30D5" w14:textId="77777777" w:rsidR="005E5092" w:rsidRPr="00EC47B6" w:rsidRDefault="005E5092" w:rsidP="005E5092">
          <w:pPr>
            <w:pStyle w:val="RefTableData"/>
          </w:pPr>
          <w:r w:rsidRPr="00F246C7">
            <w:t>Reference number(s</w:t>
          </w:r>
          <w:r w:rsidRPr="00EC47B6">
            <w:t>)</w:t>
          </w:r>
        </w:p>
      </w:tc>
    </w:tr>
    <w:tr w:rsidR="005E5092" w:rsidRPr="00BD1CC1" w14:paraId="26605821" w14:textId="77777777" w:rsidTr="004F61AB">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65718D5" w14:textId="77777777" w:rsidR="005E5092" w:rsidRPr="00FF66BF" w:rsidRDefault="005E5092" w:rsidP="005E5092">
          <w:pPr>
            <w:pStyle w:val="RefTableHeader"/>
          </w:pPr>
          <w:r w:rsidRPr="005176F0">
            <w:t>1703-A</w:t>
          </w:r>
        </w:p>
      </w:tc>
    </w:tr>
  </w:tbl>
  <w:p w14:paraId="5921BF08" w14:textId="77777777" w:rsidR="005E5092" w:rsidRPr="00106448" w:rsidRDefault="005E5092">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8181B"/>
    <w:multiLevelType w:val="hybridMultilevel"/>
    <w:tmpl w:val="8F3EB1AC"/>
    <w:lvl w:ilvl="0" w:tplc="FFFFFFFF">
      <w:start w:val="1"/>
      <w:numFmt w:val="decimal"/>
      <w:lvlText w:val="%1.   "/>
      <w:lvlJc w:val="left"/>
      <w:pPr>
        <w:ind w:left="720" w:hanging="360"/>
      </w:pPr>
      <w:rPr>
        <w:rFonts w:hint="default"/>
      </w:rPr>
    </w:lvl>
    <w:lvl w:ilvl="1" w:tplc="40090001">
      <w:start w:val="1"/>
      <w:numFmt w:val="bullet"/>
      <w:lvlText w:val=""/>
      <w:lvlJc w:val="left"/>
      <w:pPr>
        <w:ind w:left="1440" w:hanging="360"/>
      </w:pPr>
      <w:rPr>
        <w:rFonts w:ascii="Symbol" w:hAnsi="Symbol" w:hint="default"/>
      </w:rPr>
    </w:lvl>
    <w:lvl w:ilvl="2" w:tplc="FFFFFFFF">
      <w:start w:val="1"/>
      <w:numFmt w:val="decimal"/>
      <w:lvlText w:val="%3."/>
      <w:lvlJc w:val="left"/>
      <w:pPr>
        <w:ind w:left="2340" w:hanging="360"/>
      </w:pPr>
      <w:rPr>
        <w:rFonts w:ascii="Arial" w:eastAsia="Times New Roman" w:hAnsi="Arial"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756C6D"/>
    <w:multiLevelType w:val="hybridMultilevel"/>
    <w:tmpl w:val="4AF28D2C"/>
    <w:lvl w:ilvl="0" w:tplc="DD14C3FE">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332647E"/>
    <w:multiLevelType w:val="hybridMultilevel"/>
    <w:tmpl w:val="8A4E5A36"/>
    <w:lvl w:ilvl="0" w:tplc="0409000F">
      <w:start w:val="1"/>
      <w:numFmt w:val="decimal"/>
      <w:lvlText w:val="%1."/>
      <w:lvlJc w:val="left"/>
      <w:pPr>
        <w:ind w:left="1440" w:hanging="360"/>
      </w:pPr>
    </w:lvl>
    <w:lvl w:ilvl="1" w:tplc="0409001B">
      <w:start w:val="1"/>
      <w:numFmt w:val="lowerRoman"/>
      <w:lvlText w:val="%2."/>
      <w:lvlJc w:val="right"/>
      <w:pPr>
        <w:ind w:left="2160" w:hanging="360"/>
      </w:pPr>
    </w:lvl>
    <w:lvl w:ilvl="2" w:tplc="3B22DCC6">
      <w:start w:val="1"/>
      <w:numFmt w:val="upperLetter"/>
      <w:lvlText w:val="%3."/>
      <w:lvlJc w:val="left"/>
      <w:pPr>
        <w:ind w:left="3060" w:hanging="36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961AE6"/>
    <w:multiLevelType w:val="hybridMultilevel"/>
    <w:tmpl w:val="656A11A0"/>
    <w:lvl w:ilvl="0" w:tplc="03647DC4">
      <w:start w:val="1"/>
      <w:numFmt w:val="decimal"/>
      <w:lvlText w:val="%1.   "/>
      <w:lvlJc w:val="left"/>
      <w:pPr>
        <w:ind w:left="720" w:hanging="360"/>
      </w:pPr>
      <w:rPr>
        <w:rFonts w:hint="default"/>
      </w:rPr>
    </w:lvl>
    <w:lvl w:ilvl="1" w:tplc="03647DC4">
      <w:start w:val="1"/>
      <w:numFmt w:val="decimal"/>
      <w:lvlText w:val="%2.   "/>
      <w:lvlJc w:val="left"/>
      <w:pPr>
        <w:ind w:left="1440" w:hanging="360"/>
      </w:pPr>
      <w:rPr>
        <w:rFonts w:hint="default"/>
      </w:rPr>
    </w:lvl>
    <w:lvl w:ilvl="2" w:tplc="E1F28718">
      <w:start w:val="1"/>
      <w:numFmt w:val="decimal"/>
      <w:lvlText w:val="%3."/>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7"/>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19"/>
  </w:num>
  <w:num w:numId="17" w16cid:durableId="2128498676">
    <w:abstractNumId w:val="29"/>
  </w:num>
  <w:num w:numId="18" w16cid:durableId="299724409">
    <w:abstractNumId w:val="24"/>
  </w:num>
  <w:num w:numId="19" w16cid:durableId="214585573">
    <w:abstractNumId w:val="15"/>
  </w:num>
  <w:num w:numId="20" w16cid:durableId="1289816170">
    <w:abstractNumId w:val="16"/>
  </w:num>
  <w:num w:numId="21" w16cid:durableId="1066490929">
    <w:abstractNumId w:val="30"/>
  </w:num>
  <w:num w:numId="22" w16cid:durableId="1472481103">
    <w:abstractNumId w:val="26"/>
  </w:num>
  <w:num w:numId="23" w16cid:durableId="1997420403">
    <w:abstractNumId w:val="28"/>
  </w:num>
  <w:num w:numId="24" w16cid:durableId="33312838">
    <w:abstractNumId w:val="25"/>
  </w:num>
  <w:num w:numId="25" w16cid:durableId="507404939">
    <w:abstractNumId w:val="18"/>
  </w:num>
  <w:num w:numId="26" w16cid:durableId="1950313333">
    <w:abstractNumId w:val="21"/>
  </w:num>
  <w:num w:numId="27" w16cid:durableId="1866016584">
    <w:abstractNumId w:val="20"/>
  </w:num>
  <w:num w:numId="28" w16cid:durableId="1427387262">
    <w:abstractNumId w:val="22"/>
  </w:num>
  <w:num w:numId="29" w16cid:durableId="2110466252">
    <w:abstractNumId w:val="10"/>
  </w:num>
  <w:num w:numId="30" w16cid:durableId="1922107013">
    <w:abstractNumId w:val="12"/>
  </w:num>
  <w:num w:numId="31" w16cid:durableId="41124053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4375"/>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6448"/>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3874"/>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01"/>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6B24"/>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11EF"/>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F01"/>
    <w:rsid w:val="002F6300"/>
    <w:rsid w:val="0030016D"/>
    <w:rsid w:val="00301F62"/>
    <w:rsid w:val="00302214"/>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0FD2"/>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3EA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7B8"/>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2EE8"/>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176F0"/>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5A2B"/>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092"/>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2CC"/>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E0743"/>
    <w:rsid w:val="006E08C9"/>
    <w:rsid w:val="006E09C3"/>
    <w:rsid w:val="006E1BF1"/>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415"/>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32E8"/>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245C"/>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222"/>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D7E"/>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6705"/>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B30"/>
    <w:rsid w:val="00C77D90"/>
    <w:rsid w:val="00C80075"/>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3EA6"/>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4A83"/>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31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61F"/>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590"/>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1EEB"/>
    <w:rsid w:val="00FF2F94"/>
    <w:rsid w:val="00FF35C5"/>
    <w:rsid w:val="00FF37B2"/>
    <w:rsid w:val="00FF530E"/>
    <w:rsid w:val="00FF5C3C"/>
    <w:rsid w:val="00FF66BF"/>
    <w:rsid w:val="00FF6DC6"/>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javascrip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javascrip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B3321CA5-9DB2-49D3-9BA0-E1E04012B42F}"/>
</file>

<file path=customXml/itemProps3.xml><?xml version="1.0" encoding="utf-8"?>
<ds:datastoreItem xmlns:ds="http://schemas.openxmlformats.org/officeDocument/2006/customXml" ds:itemID="{A243CFE1-08DE-432F-83DD-4933F5F97812}">
  <ds:schemaRefs>
    <ds:schemaRef ds:uri="http://purl.org/dc/terms/"/>
    <ds:schemaRef ds:uri="http://schemas.openxmlformats.org/package/2006/metadata/core-properties"/>
    <ds:schemaRef ds:uri="ce173f13-e3a2-4c5f-8c54-d0382ae88016"/>
    <ds:schemaRef ds:uri="http://schemas.microsoft.com/office/2006/documentManagement/types"/>
    <ds:schemaRef ds:uri="http://schemas.microsoft.com/office/infopath/2007/PartnerControls"/>
    <ds:schemaRef ds:uri="http://purl.org/dc/elements/1.1/"/>
    <ds:schemaRef ds:uri="http://schemas.microsoft.com/office/2006/metadata/properties"/>
    <ds:schemaRef ds:uri="102fadf2-6cae-45bc-95f6-bc2613b98572"/>
    <ds:schemaRef ds:uri="http://www.w3.org/XML/1998/namespace"/>
    <ds:schemaRef ds:uri="http://purl.org/dc/dcmitype/"/>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684</Words>
  <Characters>4144</Characters>
  <Application>Microsoft Office Word</Application>
  <DocSecurity>0</DocSecurity>
  <Lines>84</Lines>
  <Paragraphs>65</Paragraphs>
  <ScaleCrop>false</ScaleCrop>
  <HeadingPairs>
    <vt:vector size="2" baseType="variant">
      <vt:variant>
        <vt:lpstr>Title</vt:lpstr>
      </vt:variant>
      <vt:variant>
        <vt:i4>1</vt:i4>
      </vt:variant>
    </vt:vector>
  </HeadingPairs>
  <TitlesOfParts>
    <vt:vector size="1" baseType="lpstr">
      <vt:lpstr>Intron A 1703-A SGM 2024.docx</vt:lpstr>
    </vt:vector>
  </TitlesOfParts>
  <Company>PCS Health Systems</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Intron A 1703-A SGM 2024</dc:title>
  <dc:subject/>
  <dc:creator>CVS Caremark</dc:creator>
  <cp:keywords/>
  <cp:lastModifiedBy>Clark, Shannon I</cp:lastModifiedBy>
  <cp:revision>3</cp:revision>
  <cp:lastPrinted>2018-01-09T05:01:00Z</cp:lastPrinted>
  <dcterms:created xsi:type="dcterms:W3CDTF">2024-12-31T02:59:00Z</dcterms:created>
  <dcterms:modified xsi:type="dcterms:W3CDTF">2024-12-31T03:00:00Z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1097100</vt:r8>
  </property>
</Properties>
</file>